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3602" w14:textId="686A4147" w:rsidR="00996335" w:rsidRDefault="00E84F5A" w:rsidP="000742EA">
      <w:pPr>
        <w:pStyle w:val="berschrift1"/>
        <w:spacing w:before="0" w:after="120" w:line="276" w:lineRule="auto"/>
        <w:ind w:left="0" w:right="734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TT7.R,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rund,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Schraubverschlüssen</w:t>
      </w:r>
    </w:p>
    <w:p w14:paraId="48A9C457" w14:textId="0BCB77D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Behälterzugang</w:t>
      </w:r>
      <w:r w:rsidRPr="000742EA">
        <w:rPr>
          <w:b/>
          <w:color w:val="231F20"/>
          <w:spacing w:val="-13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speziell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für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die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Trinkwasserversorgung,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druckbeständig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bis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="00D379DE">
        <w:rPr>
          <w:b/>
          <w:color w:val="231F20"/>
          <w:sz w:val="18"/>
          <w:szCs w:val="18"/>
        </w:rPr>
        <w:t>1</w:t>
      </w:r>
      <w:r w:rsidRPr="000742EA">
        <w:rPr>
          <w:b/>
          <w:color w:val="231F20"/>
          <w:sz w:val="18"/>
          <w:szCs w:val="18"/>
        </w:rPr>
        <w:t>0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m</w:t>
      </w:r>
      <w:r w:rsidRPr="000742EA">
        <w:rPr>
          <w:b/>
          <w:color w:val="231F20"/>
          <w:spacing w:val="-10"/>
          <w:sz w:val="18"/>
          <w:szCs w:val="18"/>
        </w:rPr>
        <w:t xml:space="preserve"> </w:t>
      </w:r>
      <w:r w:rsidRPr="000742EA">
        <w:rPr>
          <w:b/>
          <w:color w:val="231F20"/>
          <w:spacing w:val="-2"/>
          <w:sz w:val="18"/>
          <w:szCs w:val="18"/>
        </w:rPr>
        <w:t>Wassersäule.</w:t>
      </w:r>
    </w:p>
    <w:p w14:paraId="2E5E0242" w14:textId="77777777" w:rsidR="000742EA" w:rsidRPr="000742EA" w:rsidRDefault="000742EA" w:rsidP="000742EA">
      <w:pPr>
        <w:pStyle w:val="Textkrper"/>
        <w:spacing w:after="120" w:line="276" w:lineRule="auto"/>
        <w:ind w:right="734"/>
        <w:rPr>
          <w:b/>
        </w:rPr>
      </w:pPr>
    </w:p>
    <w:p w14:paraId="2266C599" w14:textId="24DF8780" w:rsidR="00996335" w:rsidRPr="000742EA" w:rsidRDefault="00E84F5A" w:rsidP="000742EA">
      <w:pPr>
        <w:pStyle w:val="Textkrper"/>
        <w:spacing w:after="120" w:line="276" w:lineRule="auto"/>
        <w:ind w:right="734"/>
      </w:pPr>
      <w:proofErr w:type="spellStart"/>
      <w:r w:rsidRPr="000742EA">
        <w:rPr>
          <w:b/>
          <w:color w:val="231F20"/>
        </w:rPr>
        <w:t>Drucktür</w:t>
      </w:r>
      <w:proofErr w:type="spellEnd"/>
      <w:r w:rsidRPr="000742EA">
        <w:rPr>
          <w:b/>
          <w:color w:val="231F20"/>
        </w:rPr>
        <w:t xml:space="preserve">, </w:t>
      </w:r>
      <w:r w:rsidRPr="000742EA">
        <w:rPr>
          <w:color w:val="231F20"/>
        </w:rPr>
        <w:t>druckbeständig bis 10 m Wassersäule, zur Druckseite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öffnend,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einbaufertig,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beidseitig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überschalbar, rund, aus Edelstahl, Werkstoff-Nr. 1.4404 (AISI 316 L), statisch</w:t>
      </w:r>
      <w:r w:rsidRPr="000742EA">
        <w:rPr>
          <w:color w:val="231F20"/>
          <w:spacing w:val="-1"/>
        </w:rPr>
        <w:t xml:space="preserve"> </w:t>
      </w:r>
      <w:r w:rsidRPr="000742EA">
        <w:rPr>
          <w:color w:val="231F20"/>
        </w:rPr>
        <w:t>geprüft.</w:t>
      </w:r>
    </w:p>
    <w:p w14:paraId="5BB73CEC" w14:textId="77777777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b/>
          <w:color w:val="231F20"/>
        </w:rPr>
        <w:t xml:space="preserve">Türblatt </w:t>
      </w:r>
      <w:r w:rsidRPr="000742EA">
        <w:rPr>
          <w:color w:val="231F20"/>
        </w:rPr>
        <w:t>zur besseren Druckaufnahme gewölbt. Mit umlaufend eingeklebter, trinkwassergeeigneter und ozonbeständiger Vierkantsilikondichtung mit KTW- und DVGW W 270 Zulassung. Die Verriegelung erfolgt über drei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Schraubverschlüsse,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die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nur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von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der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Trockenseite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aus bedienbar sind. Das runde Türblatt wird mittels stabilen, wartungsfreien Scharnieren an der Zarge angeschraubt.</w:t>
      </w:r>
    </w:p>
    <w:p w14:paraId="1FA9085F" w14:textId="77777777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b/>
          <w:color w:val="231F20"/>
        </w:rPr>
        <w:t>Zarge</w:t>
      </w:r>
      <w:r w:rsidRPr="000742EA">
        <w:rPr>
          <w:b/>
          <w:color w:val="231F20"/>
          <w:spacing w:val="-14"/>
        </w:rPr>
        <w:t xml:space="preserve"> </w:t>
      </w:r>
      <w:r w:rsidRPr="000742EA">
        <w:rPr>
          <w:color w:val="231F20"/>
        </w:rPr>
        <w:t>ausgeführt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als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Mauerrohr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mit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einem,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 xml:space="preserve">mittig angeschweißtem Mauerflansch, vorgerichtet zum Einbetonieren. An der Zarge sind Transportösen </w:t>
      </w:r>
      <w:r w:rsidRPr="000742EA">
        <w:rPr>
          <w:color w:val="231F20"/>
          <w:spacing w:val="-2"/>
        </w:rPr>
        <w:t>angebracht.</w:t>
      </w:r>
    </w:p>
    <w:p w14:paraId="32B2E7CC" w14:textId="77777777" w:rsidR="00996335" w:rsidRPr="000742EA" w:rsidRDefault="00E84F5A" w:rsidP="000742EA">
      <w:pPr>
        <w:pStyle w:val="Textkrper"/>
        <w:spacing w:after="120" w:line="276" w:lineRule="auto"/>
        <w:ind w:right="734"/>
      </w:pPr>
      <w:r w:rsidRPr="000742EA">
        <w:rPr>
          <w:color w:val="231F20"/>
        </w:rPr>
        <w:t>Zarge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und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Türblatt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unter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Schutzgas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geschweißt,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im Tauchbad gebeizt und passiviert.</w:t>
      </w:r>
    </w:p>
    <w:p w14:paraId="14735B4C" w14:textId="7777777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  <w:u w:val="single" w:color="231F20"/>
        </w:rPr>
        <w:t>Hinweis:</w:t>
      </w:r>
      <w:r w:rsidRPr="000742EA">
        <w:rPr>
          <w:b/>
          <w:color w:val="231F20"/>
          <w:sz w:val="18"/>
          <w:szCs w:val="18"/>
        </w:rPr>
        <w:t xml:space="preserve"> Gewährleistung für die Dichtigkeit zwischen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Zarge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und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Beton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wird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nur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bei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umlaufend homogenem Betongefüge übernommen.</w:t>
      </w:r>
    </w:p>
    <w:p w14:paraId="28823273" w14:textId="77777777" w:rsidR="00996335" w:rsidRPr="000742EA" w:rsidRDefault="00E84F5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Die Mindestbetongüte und entsprechende Betonklassen</w:t>
      </w:r>
      <w:r w:rsidRPr="000742EA">
        <w:rPr>
          <w:b/>
          <w:color w:val="231F20"/>
          <w:spacing w:val="-15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sind</w:t>
      </w:r>
      <w:r w:rsidRPr="000742EA">
        <w:rPr>
          <w:b/>
          <w:color w:val="231F20"/>
          <w:spacing w:val="-14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kundenseitig</w:t>
      </w:r>
      <w:r w:rsidRPr="000742EA">
        <w:rPr>
          <w:b/>
          <w:color w:val="231F20"/>
          <w:spacing w:val="-14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festzulegen.</w:t>
      </w:r>
    </w:p>
    <w:p w14:paraId="25D63654" w14:textId="77777777" w:rsidR="00996335" w:rsidRPr="000742EA" w:rsidRDefault="00E84F5A" w:rsidP="000742EA">
      <w:pPr>
        <w:spacing w:after="120" w:line="276" w:lineRule="auto"/>
        <w:ind w:right="876"/>
        <w:jc w:val="both"/>
        <w:rPr>
          <w:b/>
          <w:color w:val="231F20"/>
          <w:sz w:val="18"/>
          <w:szCs w:val="18"/>
        </w:rPr>
      </w:pPr>
      <w:r w:rsidRPr="000742EA">
        <w:rPr>
          <w:b/>
          <w:color w:val="231F20"/>
          <w:sz w:val="18"/>
          <w:szCs w:val="18"/>
        </w:rPr>
        <w:t>Bei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der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Zarge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zum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nachträglichen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Anbau,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sind</w:t>
      </w:r>
      <w:r w:rsidRPr="000742EA">
        <w:rPr>
          <w:b/>
          <w:color w:val="231F20"/>
          <w:spacing w:val="-11"/>
          <w:sz w:val="18"/>
          <w:szCs w:val="18"/>
        </w:rPr>
        <w:t xml:space="preserve"> </w:t>
      </w:r>
      <w:r w:rsidRPr="000742EA">
        <w:rPr>
          <w:b/>
          <w:color w:val="231F20"/>
          <w:sz w:val="18"/>
          <w:szCs w:val="18"/>
        </w:rPr>
        <w:t>die Herstellervorgaben für das Befestigungsmaterial zu beachten.</w:t>
      </w:r>
    </w:p>
    <w:p w14:paraId="63B9B256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color w:val="231F20"/>
          <w:sz w:val="18"/>
          <w:szCs w:val="18"/>
        </w:rPr>
      </w:pPr>
    </w:p>
    <w:p w14:paraId="31FA2098" w14:textId="77777777" w:rsidR="000742EA" w:rsidRPr="000742EA" w:rsidRDefault="000742EA" w:rsidP="000742EA">
      <w:pPr>
        <w:spacing w:after="120" w:line="276" w:lineRule="auto"/>
        <w:ind w:right="734"/>
        <w:rPr>
          <w:b/>
          <w:sz w:val="18"/>
          <w:szCs w:val="18"/>
        </w:rPr>
      </w:pPr>
      <w:r w:rsidRPr="000742EA">
        <w:rPr>
          <w:b/>
          <w:color w:val="231F20"/>
          <w:spacing w:val="-2"/>
          <w:sz w:val="18"/>
          <w:szCs w:val="18"/>
        </w:rPr>
        <w:t>Ausführungsvarianten: Anschlagart:</w:t>
      </w:r>
    </w:p>
    <w:p w14:paraId="63C13EF5" w14:textId="77777777" w:rsidR="000742EA" w:rsidRPr="000742EA" w:rsidRDefault="000742EA" w:rsidP="000742EA">
      <w:pPr>
        <w:pStyle w:val="Textkrper"/>
        <w:spacing w:after="120" w:line="276" w:lineRule="auto"/>
        <w:ind w:right="734"/>
      </w:pPr>
      <w:r w:rsidRPr="000742EA">
        <w:rPr>
          <w:color w:val="231F20"/>
        </w:rPr>
        <w:t>➤</w:t>
      </w:r>
      <w:r w:rsidRPr="000742EA">
        <w:rPr>
          <w:color w:val="231F20"/>
          <w:spacing w:val="66"/>
        </w:rPr>
        <w:t xml:space="preserve"> </w:t>
      </w:r>
      <w:r w:rsidRPr="000742EA">
        <w:rPr>
          <w:color w:val="231F20"/>
        </w:rPr>
        <w:t>DIN</w:t>
      </w:r>
      <w:r w:rsidRPr="000742EA">
        <w:rPr>
          <w:color w:val="231F20"/>
          <w:spacing w:val="-6"/>
        </w:rPr>
        <w:t xml:space="preserve"> </w:t>
      </w:r>
      <w:r w:rsidRPr="000742EA">
        <w:rPr>
          <w:color w:val="231F20"/>
          <w:spacing w:val="-2"/>
        </w:rPr>
        <w:t>links</w:t>
      </w:r>
    </w:p>
    <w:p w14:paraId="290D2EDB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sz w:val="18"/>
          <w:szCs w:val="18"/>
        </w:rPr>
      </w:pPr>
      <w:r w:rsidRPr="000742EA">
        <w:rPr>
          <w:color w:val="231F20"/>
          <w:sz w:val="18"/>
          <w:szCs w:val="18"/>
        </w:rPr>
        <w:t>➤</w:t>
      </w:r>
      <w:r w:rsidRPr="000742EA">
        <w:rPr>
          <w:color w:val="231F20"/>
          <w:spacing w:val="66"/>
          <w:sz w:val="18"/>
          <w:szCs w:val="18"/>
        </w:rPr>
        <w:t xml:space="preserve"> </w:t>
      </w:r>
      <w:r w:rsidRPr="000742EA">
        <w:rPr>
          <w:color w:val="231F20"/>
          <w:sz w:val="18"/>
          <w:szCs w:val="18"/>
        </w:rPr>
        <w:t>DIN</w:t>
      </w:r>
      <w:r w:rsidRPr="000742EA">
        <w:rPr>
          <w:color w:val="231F20"/>
          <w:spacing w:val="-6"/>
          <w:sz w:val="18"/>
          <w:szCs w:val="18"/>
        </w:rPr>
        <w:t xml:space="preserve"> </w:t>
      </w:r>
      <w:r w:rsidRPr="000742EA">
        <w:rPr>
          <w:color w:val="231F20"/>
          <w:spacing w:val="-2"/>
          <w:sz w:val="18"/>
          <w:szCs w:val="18"/>
        </w:rPr>
        <w:t>rechts</w:t>
      </w:r>
    </w:p>
    <w:p w14:paraId="3C6F793F" w14:textId="77777777" w:rsidR="000742EA" w:rsidRPr="000742EA" w:rsidRDefault="000742EA" w:rsidP="000742EA">
      <w:pPr>
        <w:spacing w:after="120" w:line="276" w:lineRule="auto"/>
        <w:ind w:right="734"/>
        <w:jc w:val="both"/>
        <w:rPr>
          <w:b/>
          <w:color w:val="231F20"/>
          <w:spacing w:val="-2"/>
          <w:sz w:val="18"/>
          <w:szCs w:val="18"/>
        </w:rPr>
      </w:pPr>
    </w:p>
    <w:p w14:paraId="25EEF21C" w14:textId="36DFA2A6" w:rsidR="00996335" w:rsidRPr="000742EA" w:rsidRDefault="00E84F5A" w:rsidP="000742EA">
      <w:pPr>
        <w:spacing w:after="120" w:line="276" w:lineRule="auto"/>
        <w:ind w:right="734"/>
        <w:jc w:val="both"/>
        <w:rPr>
          <w:b/>
          <w:sz w:val="18"/>
          <w:szCs w:val="18"/>
        </w:rPr>
      </w:pPr>
      <w:r w:rsidRPr="000742EA">
        <w:rPr>
          <w:b/>
          <w:color w:val="231F20"/>
          <w:spacing w:val="-2"/>
          <w:sz w:val="18"/>
          <w:szCs w:val="18"/>
        </w:rPr>
        <w:t>Optional:</w:t>
      </w:r>
    </w:p>
    <w:p w14:paraId="5ACADB7C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80"/>
        </w:rPr>
        <w:t xml:space="preserve"> </w:t>
      </w:r>
      <w:r w:rsidRPr="000742EA">
        <w:rPr>
          <w:color w:val="231F20"/>
        </w:rPr>
        <w:t xml:space="preserve">Zarge zum nachträglichen Anbau, Platzbedarf für den Rahmen: 150 mm, </w:t>
      </w:r>
      <w:proofErr w:type="spellStart"/>
      <w:r w:rsidRPr="000742EA">
        <w:rPr>
          <w:color w:val="231F20"/>
        </w:rPr>
        <w:t>ringsumlaufend</w:t>
      </w:r>
      <w:proofErr w:type="spellEnd"/>
      <w:r w:rsidRPr="000742EA">
        <w:rPr>
          <w:color w:val="231F20"/>
        </w:rPr>
        <w:t>. Bei dieser Ausführung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muss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die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Wandinnenseite</w:t>
      </w:r>
      <w:r w:rsidRPr="000742EA">
        <w:rPr>
          <w:color w:val="231F20"/>
          <w:spacing w:val="-13"/>
        </w:rPr>
        <w:t xml:space="preserve"> </w:t>
      </w:r>
      <w:proofErr w:type="spellStart"/>
      <w:r w:rsidRPr="000742EA">
        <w:rPr>
          <w:color w:val="231F20"/>
        </w:rPr>
        <w:t>planeben</w:t>
      </w:r>
      <w:proofErr w:type="spellEnd"/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sein, Ebenheitstoleranz: ± 1 mm pro Meter.</w:t>
      </w:r>
    </w:p>
    <w:p w14:paraId="3353108B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6"/>
        </w:rPr>
        <w:t xml:space="preserve"> </w:t>
      </w:r>
      <w:proofErr w:type="spellStart"/>
      <w:r w:rsidRPr="000742EA">
        <w:rPr>
          <w:color w:val="231F20"/>
        </w:rPr>
        <w:t>Drucktür</w:t>
      </w:r>
      <w:proofErr w:type="spellEnd"/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für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runde</w:t>
      </w:r>
      <w:r w:rsidRPr="000742EA">
        <w:rPr>
          <w:color w:val="231F20"/>
          <w:spacing w:val="-9"/>
        </w:rPr>
        <w:t xml:space="preserve"> </w:t>
      </w:r>
      <w:r w:rsidRPr="000742EA">
        <w:rPr>
          <w:color w:val="231F20"/>
        </w:rPr>
        <w:t>Behälter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(nur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zum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 xml:space="preserve">Einbetonieren </w:t>
      </w:r>
      <w:r w:rsidRPr="000742EA">
        <w:rPr>
          <w:color w:val="231F20"/>
          <w:spacing w:val="-2"/>
        </w:rPr>
        <w:t>möglich)</w:t>
      </w:r>
    </w:p>
    <w:p w14:paraId="14AE7EF0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40"/>
        </w:rPr>
        <w:t xml:space="preserve"> </w:t>
      </w:r>
      <w:r w:rsidRPr="000742EA">
        <w:rPr>
          <w:color w:val="231F20"/>
        </w:rPr>
        <w:t>mittig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eingebaute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Schauluke,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Sichtdurchmesser: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150 mm, mit und ohne Scheibenwischer</w:t>
      </w:r>
    </w:p>
    <w:p w14:paraId="4AEA8F85" w14:textId="77777777" w:rsidR="000742EA" w:rsidRDefault="000742EA" w:rsidP="000742EA">
      <w:pPr>
        <w:pStyle w:val="Textkrper"/>
        <w:spacing w:after="120" w:line="276" w:lineRule="auto"/>
        <w:ind w:left="284" w:right="734" w:hanging="284"/>
        <w:rPr>
          <w:color w:val="231F20"/>
          <w:spacing w:val="-4"/>
        </w:rPr>
      </w:pPr>
    </w:p>
    <w:p w14:paraId="054879E2" w14:textId="2400B9F4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  <w:spacing w:val="-4"/>
        </w:rPr>
        <w:t>oder</w:t>
      </w:r>
    </w:p>
    <w:p w14:paraId="48788B86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66"/>
        </w:rPr>
        <w:t xml:space="preserve"> </w:t>
      </w:r>
      <w:r w:rsidRPr="000742EA">
        <w:rPr>
          <w:color w:val="231F20"/>
        </w:rPr>
        <w:t>eingebauter</w:t>
      </w:r>
      <w:r w:rsidRPr="000742EA">
        <w:rPr>
          <w:color w:val="231F20"/>
          <w:spacing w:val="-6"/>
        </w:rPr>
        <w:t xml:space="preserve"> </w:t>
      </w:r>
      <w:r w:rsidRPr="000742EA">
        <w:rPr>
          <w:color w:val="231F20"/>
        </w:rPr>
        <w:t>LED-</w:t>
      </w:r>
      <w:r w:rsidRPr="000742EA">
        <w:rPr>
          <w:color w:val="231F20"/>
          <w:spacing w:val="-2"/>
        </w:rPr>
        <w:t>Unterwasserscheinwerfer</w:t>
      </w:r>
    </w:p>
    <w:p w14:paraId="538D64E7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5"/>
        </w:rPr>
        <w:t xml:space="preserve"> </w:t>
      </w:r>
      <w:r w:rsidRPr="000742EA">
        <w:rPr>
          <w:color w:val="231F20"/>
        </w:rPr>
        <w:t>eingebautes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Zylinderschloss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(einseitig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  <w:spacing w:val="-2"/>
        </w:rPr>
        <w:t>bedienbar)</w:t>
      </w:r>
    </w:p>
    <w:p w14:paraId="7264C7DC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5"/>
        </w:rPr>
        <w:t xml:space="preserve"> </w:t>
      </w:r>
      <w:r w:rsidRPr="000742EA">
        <w:rPr>
          <w:color w:val="231F20"/>
        </w:rPr>
        <w:t>Besandung</w:t>
      </w:r>
      <w:r w:rsidRPr="000742EA">
        <w:rPr>
          <w:color w:val="231F20"/>
          <w:spacing w:val="-9"/>
        </w:rPr>
        <w:t xml:space="preserve"> </w:t>
      </w:r>
      <w:r w:rsidRPr="000742EA">
        <w:rPr>
          <w:color w:val="231F20"/>
        </w:rPr>
        <w:t>der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betonberührten</w:t>
      </w:r>
      <w:r w:rsidRPr="000742EA">
        <w:rPr>
          <w:color w:val="231F20"/>
          <w:spacing w:val="-10"/>
        </w:rPr>
        <w:t xml:space="preserve"> </w:t>
      </w:r>
      <w:proofErr w:type="spellStart"/>
      <w:r w:rsidRPr="000742EA">
        <w:rPr>
          <w:color w:val="231F20"/>
          <w:spacing w:val="-2"/>
        </w:rPr>
        <w:t>Zargenteile</w:t>
      </w:r>
      <w:proofErr w:type="spellEnd"/>
    </w:p>
    <w:p w14:paraId="1F5429E0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4"/>
        </w:rPr>
        <w:t xml:space="preserve"> </w:t>
      </w:r>
      <w:r w:rsidRPr="000742EA">
        <w:rPr>
          <w:color w:val="231F20"/>
        </w:rPr>
        <w:t>Probeentnahmehahn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an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</w:rPr>
        <w:t>der</w:t>
      </w:r>
      <w:r w:rsidRPr="000742EA">
        <w:rPr>
          <w:color w:val="231F20"/>
          <w:spacing w:val="-10"/>
        </w:rPr>
        <w:t xml:space="preserve"> </w:t>
      </w:r>
      <w:r w:rsidRPr="000742EA">
        <w:rPr>
          <w:color w:val="231F20"/>
          <w:spacing w:val="-2"/>
        </w:rPr>
        <w:t>Türaußenseite</w:t>
      </w:r>
    </w:p>
    <w:p w14:paraId="7AD74007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47"/>
        </w:rPr>
        <w:t xml:space="preserve"> </w:t>
      </w:r>
      <w:r w:rsidRPr="000742EA">
        <w:rPr>
          <w:color w:val="231F20"/>
        </w:rPr>
        <w:t>Vorgerichtet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zum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Anschweißen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an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PE-</w:t>
      </w:r>
      <w:r w:rsidRPr="000742EA">
        <w:rPr>
          <w:color w:val="231F20"/>
          <w:spacing w:val="-2"/>
        </w:rPr>
        <w:t>Auskleidung</w:t>
      </w:r>
    </w:p>
    <w:p w14:paraId="2EC03B97" w14:textId="77777777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52"/>
        </w:rPr>
        <w:t xml:space="preserve"> </w:t>
      </w:r>
      <w:r w:rsidRPr="000742EA">
        <w:rPr>
          <w:color w:val="231F20"/>
        </w:rPr>
        <w:t>Potentialausgleich</w:t>
      </w:r>
      <w:r w:rsidRPr="000742EA">
        <w:rPr>
          <w:color w:val="231F20"/>
          <w:spacing w:val="-11"/>
        </w:rPr>
        <w:t xml:space="preserve"> </w:t>
      </w:r>
      <w:r w:rsidRPr="000742EA">
        <w:rPr>
          <w:color w:val="231F20"/>
        </w:rPr>
        <w:t>am</w:t>
      </w:r>
      <w:r w:rsidRPr="000742EA">
        <w:rPr>
          <w:color w:val="231F20"/>
          <w:spacing w:val="-11"/>
        </w:rPr>
        <w:t xml:space="preserve"> </w:t>
      </w:r>
      <w:r w:rsidRPr="000742EA">
        <w:rPr>
          <w:color w:val="231F20"/>
          <w:spacing w:val="-2"/>
        </w:rPr>
        <w:t>Rahmen</w:t>
      </w:r>
    </w:p>
    <w:p w14:paraId="03AE7731" w14:textId="79CB5FBF" w:rsidR="00996335" w:rsidRPr="000742EA" w:rsidRDefault="00E84F5A" w:rsidP="000742EA">
      <w:pPr>
        <w:pStyle w:val="Textkrper"/>
        <w:spacing w:after="120" w:line="276" w:lineRule="auto"/>
        <w:ind w:left="284" w:right="734" w:hanging="284"/>
      </w:pPr>
      <w:r w:rsidRPr="000742EA">
        <w:rPr>
          <w:color w:val="231F20"/>
        </w:rPr>
        <w:t>➤</w:t>
      </w:r>
      <w:r w:rsidRPr="000742EA">
        <w:rPr>
          <w:color w:val="231F20"/>
          <w:spacing w:val="35"/>
        </w:rPr>
        <w:t xml:space="preserve"> </w:t>
      </w:r>
      <w:r w:rsidRPr="000742EA">
        <w:rPr>
          <w:color w:val="231F20"/>
        </w:rPr>
        <w:t>Vollständig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aus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Werkstoff-Nr.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1.4307</w:t>
      </w:r>
      <w:r w:rsidRPr="000742EA">
        <w:rPr>
          <w:color w:val="231F20"/>
          <w:spacing w:val="-12"/>
        </w:rPr>
        <w:t xml:space="preserve"> </w:t>
      </w:r>
      <w:r w:rsidRPr="000742EA">
        <w:rPr>
          <w:color w:val="231F20"/>
        </w:rPr>
        <w:t>(AISI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</w:rPr>
        <w:t>304</w:t>
      </w:r>
      <w:r w:rsidRPr="000742EA">
        <w:rPr>
          <w:color w:val="231F20"/>
          <w:spacing w:val="-13"/>
        </w:rPr>
        <w:t xml:space="preserve"> </w:t>
      </w:r>
      <w:r w:rsidRPr="000742EA">
        <w:rPr>
          <w:color w:val="231F20"/>
          <w:spacing w:val="-5"/>
        </w:rPr>
        <w:t>L)</w:t>
      </w:r>
    </w:p>
    <w:sectPr w:rsidR="00996335" w:rsidRPr="000742EA" w:rsidSect="000742EA">
      <w:footerReference w:type="default" r:id="rId6"/>
      <w:type w:val="continuous"/>
      <w:pgSz w:w="11910" w:h="16840"/>
      <w:pgMar w:top="138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7596" w14:textId="77777777" w:rsidR="003E766F" w:rsidRDefault="003E766F">
      <w:r>
        <w:separator/>
      </w:r>
    </w:p>
  </w:endnote>
  <w:endnote w:type="continuationSeparator" w:id="0">
    <w:p w14:paraId="58B047B8" w14:textId="77777777" w:rsidR="003E766F" w:rsidRDefault="003E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757" w14:textId="7D3DC78F" w:rsidR="00996335" w:rsidRDefault="00996335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F620" w14:textId="77777777" w:rsidR="003E766F" w:rsidRDefault="003E766F">
      <w:r>
        <w:separator/>
      </w:r>
    </w:p>
  </w:footnote>
  <w:footnote w:type="continuationSeparator" w:id="0">
    <w:p w14:paraId="0B389EDE" w14:textId="77777777" w:rsidR="003E766F" w:rsidRDefault="003E7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6335"/>
    <w:rsid w:val="000742EA"/>
    <w:rsid w:val="00283C6D"/>
    <w:rsid w:val="003E766F"/>
    <w:rsid w:val="00996335"/>
    <w:rsid w:val="00C22B60"/>
    <w:rsid w:val="00D379DE"/>
    <w:rsid w:val="00E8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56B8D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1"/>
      <w:ind w:left="473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0742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42EA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742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42EA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TT7.R</TermName>
          <TermId xmlns="http://schemas.microsoft.com/office/infopath/2007/PartnerControls">79147216-3326-40d1-882b-986638e7b445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69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4BA885D-7AA1-4224-8FB9-454AB4237458}"/>
</file>

<file path=customXml/itemProps2.xml><?xml version="1.0" encoding="utf-8"?>
<ds:datastoreItem xmlns:ds="http://schemas.openxmlformats.org/officeDocument/2006/customXml" ds:itemID="{2AA8FDBC-EFE7-4197-94D4-71B06A58FAE4}"/>
</file>

<file path=customXml/itemProps3.xml><?xml version="1.0" encoding="utf-8"?>
<ds:datastoreItem xmlns:ds="http://schemas.openxmlformats.org/officeDocument/2006/customXml" ds:itemID="{60358AE7-6454-4290-8F58-C104C626A93A}"/>
</file>

<file path=customXml/itemProps4.xml><?xml version="1.0" encoding="utf-8"?>
<ds:datastoreItem xmlns:ds="http://schemas.openxmlformats.org/officeDocument/2006/customXml" ds:itemID="{A2C53B6B-5312-4BC6-8D11-905658ACF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TT7.R</dc:title>
  <cp:lastModifiedBy>Bayerschmidt, Bianca</cp:lastModifiedBy>
  <cp:revision>5</cp:revision>
  <dcterms:created xsi:type="dcterms:W3CDTF">2023-05-17T05:46:00Z</dcterms:created>
  <dcterms:modified xsi:type="dcterms:W3CDTF">2023-10-20T06:40:00Z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69;#TT7.R|79147216-3326-40d1-882b-986638e7b445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